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63" w:rsidRPr="00BC6AB0" w:rsidRDefault="00331963" w:rsidP="00BC6AB0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jc w:val="center"/>
        <w:outlineLvl w:val="1"/>
        <w:rPr>
          <w:rFonts w:ascii="Times New Roman" w:hAnsi="Times New Roman"/>
          <w:b/>
          <w:color w:val="252525"/>
          <w:sz w:val="28"/>
          <w:szCs w:val="28"/>
          <w:lang w:eastAsia="ru-RU"/>
        </w:rPr>
      </w:pPr>
      <w:r w:rsidRPr="00BC6AB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Государственный, коммерческий и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некоммерческий</w:t>
      </w:r>
      <w:r w:rsidRPr="00BC6AB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сектор</w:t>
      </w:r>
    </w:p>
    <w:p w:rsidR="00331963" w:rsidRDefault="00331963" w:rsidP="00DD77A1">
      <w:pPr>
        <w:shd w:val="clear" w:color="auto" w:fill="FFFFFF"/>
        <w:spacing w:before="120" w:after="120" w:line="336" w:lineRule="atLeast"/>
        <w:rPr>
          <w:rFonts w:ascii="Times New Roman" w:hAnsi="Times New Roman"/>
          <w:sz w:val="24"/>
          <w:szCs w:val="24"/>
          <w:lang w:eastAsia="ru-RU"/>
        </w:rPr>
      </w:pPr>
    </w:p>
    <w:p w:rsidR="00331963" w:rsidRDefault="00331963" w:rsidP="00BC6AB0">
      <w:pPr>
        <w:shd w:val="clear" w:color="auto" w:fill="FFFFFF"/>
        <w:spacing w:before="120" w:after="120" w:line="336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BC6AB0">
        <w:rPr>
          <w:rFonts w:ascii="Times New Roman" w:hAnsi="Times New Roman"/>
          <w:sz w:val="24"/>
          <w:szCs w:val="24"/>
          <w:lang w:eastAsia="ru-RU"/>
        </w:rPr>
        <w:t>овременнаясоциологияусловно делит социальные группыгражданского обществана три сектора: публичный, коммерческий и некоммерческий. Некоммерческие организации по умолчанию не входят в состав коммерческого сектора, в то время как причисление конкретной некоммерческой организации к публичному или некоммерческому сектору определяется совокупностью факторов и, как правило, носит субъективный характер.</w:t>
      </w:r>
    </w:p>
    <w:p w:rsidR="00331963" w:rsidRPr="00BC6AB0" w:rsidRDefault="00331963" w:rsidP="00BC6AB0">
      <w:pPr>
        <w:shd w:val="clear" w:color="auto" w:fill="FFFFFF"/>
        <w:spacing w:before="120" w:after="120" w:line="336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918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371"/>
        <w:gridCol w:w="4258"/>
        <w:gridCol w:w="3462"/>
        <w:gridCol w:w="5606"/>
      </w:tblGrid>
      <w:tr w:rsidR="00331963" w:rsidRPr="00ED3FB7" w:rsidTr="00964D07">
        <w:tc>
          <w:tcPr>
            <w:tcW w:w="2377" w:type="dxa"/>
            <w:shd w:val="clear" w:color="auto" w:fill="FFFFFF"/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4267" w:type="dxa"/>
            <w:shd w:val="clear" w:color="auto" w:fill="FFFFFF"/>
            <w:vAlign w:val="center"/>
          </w:tcPr>
          <w:p w:rsidR="00331963" w:rsidRDefault="00331963" w:rsidP="00BC6AB0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Государственный</w:t>
            </w:r>
          </w:p>
          <w:p w:rsidR="00331963" w:rsidRPr="00BC6AB0" w:rsidRDefault="00331963" w:rsidP="00BC6AB0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(публичный)сектор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Default="00331963" w:rsidP="00BC6AB0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Коммерческий</w:t>
            </w:r>
          </w:p>
          <w:p w:rsidR="00331963" w:rsidRPr="00BC6AB0" w:rsidRDefault="00331963" w:rsidP="00BC6AB0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(частный)сектор</w:t>
            </w:r>
          </w:p>
        </w:tc>
        <w:tc>
          <w:tcPr>
            <w:tcW w:w="5617" w:type="dxa"/>
            <w:shd w:val="clear" w:color="auto" w:fill="C6D9F1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331963" w:rsidRDefault="00331963" w:rsidP="00BC6AB0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Некоммерческий</w:t>
            </w:r>
          </w:p>
          <w:p w:rsidR="00331963" w:rsidRPr="00BC6AB0" w:rsidRDefault="00331963" w:rsidP="00BC6AB0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сектор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Сектор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третий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Состав сектора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рганыпубличнойвластивсех уровней</w:t>
            </w:r>
          </w:p>
          <w:p w:rsidR="00331963" w:rsidRPr="00BC6AB0" w:rsidRDefault="00331963" w:rsidP="00964D07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государственныенекоммерческиеорганизации;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коммерческие организации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организации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Правовая форма организации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органов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государственное учреждение или учреждение местного самоуправления; для государственных организаций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некоммерческая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коммерческая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некоммерческая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Учредители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государство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любые лица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любые лица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Человеческие ресурсы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штатные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штатные и привлеченные (оплачиваемые)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штатные и привлеченные (оплачиваемые и неоплачиваемые)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Оплата человеческих ресурсов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штатных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заработная плата, привлеченных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договору оказания услуг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штатных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заработная плата; коммерческие услуги привлеченных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договору оказания услуг; услугиволонтёров(добровольцев) не оплачиваются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Основные цели деятельности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обществом и оказание публичных услуг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Извлечение прибыли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Как правило, но не обязательно, общественно значимые, включая</w:t>
            </w:r>
            <w:hyperlink r:id="rId5" w:tooltip="Благотворительность" w:history="1">
              <w:r w:rsidRPr="00BC6AB0">
                <w:rPr>
                  <w:rFonts w:ascii="Times New Roman" w:hAnsi="Times New Roman"/>
                  <w:sz w:val="24"/>
                  <w:szCs w:val="24"/>
                  <w:lang w:eastAsia="ru-RU"/>
                </w:rPr>
                <w:t>благотворительные</w:t>
              </w:r>
            </w:hyperlink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hyperlink r:id="rId6" w:tooltip="Филантропия" w:history="1">
              <w:r w:rsidRPr="00BC6AB0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филантропические</w:t>
              </w:r>
            </w:hyperlink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),</w:t>
            </w:r>
            <w:hyperlink r:id="rId7" w:tooltip="Просвещение" w:history="1">
              <w:r w:rsidRPr="00BC6AB0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просветительские</w:t>
              </w:r>
            </w:hyperlink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hyperlink r:id="rId8" w:tooltip="Религия" w:history="1">
              <w:r w:rsidRPr="00BC6AB0">
                <w:rPr>
                  <w:rFonts w:ascii="Times New Roman" w:hAnsi="Times New Roman"/>
                  <w:sz w:val="24"/>
                  <w:szCs w:val="24"/>
                  <w:lang w:eastAsia="ru-RU"/>
                </w:rPr>
                <w:t>религиозные</w:t>
              </w:r>
            </w:hyperlink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, политические, социально-экономические и проч.</w:t>
            </w:r>
          </w:p>
        </w:tc>
      </w:tr>
      <w:tr w:rsidR="00331963" w:rsidRPr="00ED3FB7" w:rsidTr="00BC6AB0">
        <w:tc>
          <w:tcPr>
            <w:tcW w:w="15730" w:type="dxa"/>
            <w:gridSpan w:val="4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BC6AB0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осударственныйбюджет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только для предприятий с участием государства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возможен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заёмный капитал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эмиссия ценных бумаг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капитал собственников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выручка от коммерческой деятельности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пожертвования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31963" w:rsidRPr="00ED3FB7" w:rsidTr="00964D07">
        <w:tc>
          <w:tcPr>
            <w:tcW w:w="237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DD77A1">
            <w:pPr>
              <w:spacing w:after="0" w:line="33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гранты, включая государственные</w:t>
            </w:r>
          </w:p>
        </w:tc>
        <w:tc>
          <w:tcPr>
            <w:tcW w:w="4267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69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7" w:type="dxa"/>
            <w:shd w:val="clear" w:color="auto" w:fill="C6D9F1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31963" w:rsidRPr="00BC6AB0" w:rsidRDefault="00331963" w:rsidP="00964D07">
            <w:pPr>
              <w:spacing w:after="0" w:line="33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AB0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31963" w:rsidRPr="00BC6AB0" w:rsidRDefault="00331963" w:rsidP="00BC6AB0">
      <w:pPr>
        <w:shd w:val="clear" w:color="auto" w:fill="FFFFFF"/>
        <w:spacing w:before="120" w:after="120" w:line="336" w:lineRule="atLeast"/>
        <w:rPr>
          <w:rFonts w:ascii="Times New Roman" w:hAnsi="Times New Roman"/>
          <w:sz w:val="24"/>
          <w:szCs w:val="24"/>
        </w:rPr>
      </w:pPr>
      <w:r w:rsidRPr="00BC6AB0">
        <w:rPr>
          <w:rFonts w:ascii="Times New Roman" w:hAnsi="Times New Roman"/>
          <w:sz w:val="24"/>
          <w:szCs w:val="24"/>
          <w:lang w:eastAsia="ru-RU"/>
        </w:rPr>
        <w:t>Существует мнение, что некоммерческие организации более эффективно выполняют социальные функции, чем государство. В этом смысле некоммерческие организации, выполняющие отдельные функции государства или органов самоуправления, но при этом не прибегающие к помощи органов государственной власти и местного самоуправления, называются</w:t>
      </w:r>
      <w:r w:rsidRPr="00BC6AB0">
        <w:rPr>
          <w:rFonts w:ascii="Times New Roman" w:hAnsi="Times New Roman"/>
          <w:b/>
          <w:bCs/>
          <w:sz w:val="24"/>
          <w:szCs w:val="24"/>
          <w:lang w:eastAsia="ru-RU"/>
        </w:rPr>
        <w:t>неправительственными</w:t>
      </w:r>
      <w:r w:rsidRPr="00BC6AB0">
        <w:rPr>
          <w:rFonts w:ascii="Times New Roman" w:hAnsi="Times New Roman"/>
          <w:sz w:val="24"/>
          <w:szCs w:val="24"/>
          <w:lang w:eastAsia="ru-RU"/>
        </w:rPr>
        <w:t>.</w:t>
      </w:r>
    </w:p>
    <w:sectPr w:rsidR="00331963" w:rsidRPr="00BC6AB0" w:rsidSect="00BC6AB0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45943"/>
    <w:multiLevelType w:val="multilevel"/>
    <w:tmpl w:val="5100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7A1"/>
    <w:rsid w:val="001A7290"/>
    <w:rsid w:val="002258AE"/>
    <w:rsid w:val="00331963"/>
    <w:rsid w:val="00395F43"/>
    <w:rsid w:val="004B255F"/>
    <w:rsid w:val="009122D5"/>
    <w:rsid w:val="00964D07"/>
    <w:rsid w:val="009C71F7"/>
    <w:rsid w:val="00B64CCC"/>
    <w:rsid w:val="00BC6AB0"/>
    <w:rsid w:val="00DD77A1"/>
    <w:rsid w:val="00ED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AE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DD77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D77A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DefaultParagraphFont"/>
    <w:uiPriority w:val="99"/>
    <w:rsid w:val="00DD77A1"/>
    <w:rPr>
      <w:rFonts w:cs="Times New Roman"/>
    </w:rPr>
  </w:style>
  <w:style w:type="character" w:customStyle="1" w:styleId="mw-editsection">
    <w:name w:val="mw-editsection"/>
    <w:basedOn w:val="DefaultParagraphFont"/>
    <w:uiPriority w:val="99"/>
    <w:rsid w:val="00DD77A1"/>
    <w:rPr>
      <w:rFonts w:cs="Times New Roman"/>
    </w:rPr>
  </w:style>
  <w:style w:type="character" w:customStyle="1" w:styleId="mw-editsection-bracket">
    <w:name w:val="mw-editsection-bracket"/>
    <w:basedOn w:val="DefaultParagraphFont"/>
    <w:uiPriority w:val="99"/>
    <w:rsid w:val="00DD77A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DD77A1"/>
    <w:rPr>
      <w:rFonts w:cs="Times New Roman"/>
      <w:color w:val="0000FF"/>
      <w:u w:val="single"/>
    </w:rPr>
  </w:style>
  <w:style w:type="character" w:customStyle="1" w:styleId="mw-editsection-divider">
    <w:name w:val="mw-editsection-divider"/>
    <w:basedOn w:val="DefaultParagraphFont"/>
    <w:uiPriority w:val="99"/>
    <w:rsid w:val="00DD77A1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D77A1"/>
    <w:rPr>
      <w:rFonts w:cs="Times New Roman"/>
    </w:rPr>
  </w:style>
  <w:style w:type="paragraph" w:styleId="NormalWeb">
    <w:name w:val="Normal (Web)"/>
    <w:basedOn w:val="Normal"/>
    <w:uiPriority w:val="99"/>
    <w:semiHidden/>
    <w:rsid w:val="00DD7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72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0%B5%D0%BB%D0%B8%D0%B3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1%80%D0%BE%D1%81%D0%B2%D0%B5%D1%89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4%D0%B8%D0%BB%D0%B0%D0%BD%D1%82%D1%80%D0%BE%D0%BF%D0%B8%D1%8F" TargetMode="External"/><Relationship Id="rId5" Type="http://schemas.openxmlformats.org/officeDocument/2006/relationships/hyperlink" Target="http://ru.wikipedia.org/wiki/%D0%91%D0%BB%D0%B0%D0%B3%D0%BE%D1%82%D0%B2%D0%BE%D1%80%D0%B8%D1%82%D0%B5%D0%BB%D1%8C%D0%BD%D0%BE%D1%81%D1%82%D1%8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424</Words>
  <Characters>2418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Государственный, коммерческий и некоммерческий сектор</dc:title>
  <dc:subject/>
  <dc:creator>Александр Петрович Шубин</dc:creator>
  <cp:keywords/>
  <dc:description/>
  <cp:lastModifiedBy>.</cp:lastModifiedBy>
  <cp:revision>2</cp:revision>
  <dcterms:created xsi:type="dcterms:W3CDTF">2017-05-29T13:19:00Z</dcterms:created>
  <dcterms:modified xsi:type="dcterms:W3CDTF">2017-05-29T13:19:00Z</dcterms:modified>
</cp:coreProperties>
</file>